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E9" w:rsidRDefault="006662E9" w:rsidP="00B0096F">
      <w:pPr>
        <w:spacing w:after="0"/>
        <w:ind w:left="0" w:firstLine="0"/>
        <w:rPr>
          <w:rFonts w:ascii="Veneer Two" w:hAnsi="Veneer Two"/>
          <w:sz w:val="32"/>
        </w:rPr>
      </w:pPr>
      <w:r w:rsidRPr="006662E9">
        <w:rPr>
          <w:rFonts w:ascii="Veneer Two" w:hAnsi="Veneer Two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907580A" wp14:editId="59C95F68">
            <wp:simplePos x="0" y="0"/>
            <wp:positionH relativeFrom="column">
              <wp:posOffset>62230</wp:posOffset>
            </wp:positionH>
            <wp:positionV relativeFrom="paragraph">
              <wp:posOffset>57150</wp:posOffset>
            </wp:positionV>
            <wp:extent cx="657225" cy="1056640"/>
            <wp:effectExtent l="0" t="0" r="9525" b="0"/>
            <wp:wrapTight wrapText="bothSides">
              <wp:wrapPolygon edited="0">
                <wp:start x="5635" y="0"/>
                <wp:lineTo x="0" y="2337"/>
                <wp:lineTo x="0" y="11293"/>
                <wp:lineTo x="8139" y="12462"/>
                <wp:lineTo x="0" y="14409"/>
                <wp:lineTo x="0" y="20250"/>
                <wp:lineTo x="3130" y="21029"/>
                <wp:lineTo x="7513" y="21029"/>
                <wp:lineTo x="21287" y="20250"/>
                <wp:lineTo x="21287" y="14409"/>
                <wp:lineTo x="13148" y="12462"/>
                <wp:lineTo x="21287" y="11683"/>
                <wp:lineTo x="21287" y="2337"/>
                <wp:lineTo x="15652" y="0"/>
                <wp:lineTo x="5635" y="0"/>
              </wp:wrapPolygon>
            </wp:wrapTight>
            <wp:docPr id="1" name="Grafik 1" descr="C:\Users\ijm\Documents\Logos\IJM_FINAL LOGO_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m\Documents\Logos\IJM_FINAL LOGO_schwar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96F" w:rsidRPr="00B0096F" w:rsidRDefault="00B0096F" w:rsidP="006662E9">
      <w:pPr>
        <w:spacing w:after="0"/>
        <w:ind w:left="1418" w:firstLine="0"/>
        <w:rPr>
          <w:rFonts w:ascii="Veneer Two" w:hAnsi="Veneer Two"/>
          <w:sz w:val="32"/>
        </w:rPr>
      </w:pPr>
      <w:r w:rsidRPr="00B0096F">
        <w:rPr>
          <w:rFonts w:ascii="Veneer Two" w:hAnsi="Veneer Two"/>
          <w:sz w:val="32"/>
        </w:rPr>
        <w:t xml:space="preserve">Fußballer werden für </w:t>
      </w:r>
      <w:r w:rsidRPr="00B0096F">
        <w:rPr>
          <w:rFonts w:ascii="Veneer Two" w:hAnsi="Veneer Two"/>
          <w:color w:val="80BA27"/>
          <w:sz w:val="32"/>
        </w:rPr>
        <w:t>Millionen</w:t>
      </w:r>
      <w:r w:rsidRPr="00B0096F">
        <w:rPr>
          <w:rFonts w:ascii="Veneer Two" w:hAnsi="Veneer Two"/>
          <w:sz w:val="32"/>
        </w:rPr>
        <w:t xml:space="preserve"> gekauft. </w:t>
      </w:r>
    </w:p>
    <w:p w:rsidR="00CD351B" w:rsidRDefault="00B0096F" w:rsidP="006662E9">
      <w:pPr>
        <w:ind w:left="1418" w:firstLine="0"/>
        <w:rPr>
          <w:rFonts w:ascii="Veneer Two" w:hAnsi="Veneer Two"/>
          <w:sz w:val="32"/>
        </w:rPr>
      </w:pPr>
      <w:r w:rsidRPr="00B0096F">
        <w:rPr>
          <w:rFonts w:ascii="Veneer Two" w:hAnsi="Veneer Two"/>
          <w:color w:val="80BA27"/>
          <w:sz w:val="32"/>
        </w:rPr>
        <w:t>Millionen</w:t>
      </w:r>
      <w:r w:rsidRPr="00B0096F">
        <w:rPr>
          <w:rFonts w:ascii="Veneer Two" w:hAnsi="Veneer Two"/>
          <w:sz w:val="32"/>
        </w:rPr>
        <w:t xml:space="preserve"> werden für weniger als einen Fußball verkauft.</w:t>
      </w:r>
    </w:p>
    <w:p w:rsidR="006662E9" w:rsidRPr="006662E9" w:rsidRDefault="006662E9" w:rsidP="006662E9">
      <w:pPr>
        <w:ind w:left="1418" w:firstLine="0"/>
        <w:rPr>
          <w:rFonts w:ascii="Veneer Two" w:hAnsi="Veneer Two"/>
          <w:sz w:val="32"/>
        </w:rPr>
      </w:pPr>
      <w:r w:rsidRPr="006662E9">
        <w:rPr>
          <w:rFonts w:ascii="Veneer Two" w:hAnsi="Veneer Two" w:cs="Arial"/>
        </w:rPr>
        <w:t>Im Kampf gegen moderne Sklaverei und Menschenhandel. Weltweit.</w:t>
      </w:r>
    </w:p>
    <w:p w:rsidR="00B0096F" w:rsidRDefault="00B0096F" w:rsidP="00B0096F">
      <w:pPr>
        <w:ind w:left="0" w:firstLine="0"/>
        <w:rPr>
          <w:rFonts w:ascii="Veneer Two" w:hAnsi="Veneer Two"/>
        </w:rPr>
      </w:pPr>
    </w:p>
    <w:p w:rsidR="00140023" w:rsidRPr="0037397B" w:rsidRDefault="006662E9" w:rsidP="00B40CE9">
      <w:pPr>
        <w:ind w:left="0" w:firstLine="0"/>
        <w:rPr>
          <w:rFonts w:ascii="Reader" w:hAnsi="Reader" w:cs="Arial"/>
        </w:rPr>
      </w:pPr>
      <w:r w:rsidRPr="0037397B">
        <w:rPr>
          <w:rFonts w:ascii="Reader" w:hAnsi="Reader" w:cs="Arial"/>
        </w:rPr>
        <w:t xml:space="preserve">Im Jahr 2000 beschlossen die Vereinten Nationen die </w:t>
      </w:r>
      <w:r w:rsidRPr="00D00A30">
        <w:rPr>
          <w:rFonts w:ascii="Reader" w:hAnsi="Reader" w:cs="Arial"/>
          <w:b/>
          <w:color w:val="80BA27"/>
        </w:rPr>
        <w:t>Millennium-Entwicklungsziele</w:t>
      </w:r>
      <w:r w:rsidRPr="0037397B">
        <w:rPr>
          <w:rFonts w:ascii="Reader" w:hAnsi="Reader" w:cs="Arial"/>
        </w:rPr>
        <w:t>, die bis 2015 erreicht werden sollten. Acht Ziele wurden festgelegt, um Armut weltweit zu bekämpfen</w:t>
      </w:r>
      <w:r w:rsidR="00B40CE9">
        <w:rPr>
          <w:rFonts w:ascii="Reader" w:hAnsi="Reader" w:cs="Arial"/>
        </w:rPr>
        <w:t>.</w:t>
      </w:r>
    </w:p>
    <w:p w:rsidR="00140023" w:rsidRDefault="006662E9" w:rsidP="00B40CE9">
      <w:pPr>
        <w:ind w:left="0" w:firstLine="0"/>
        <w:rPr>
          <w:rFonts w:ascii="Reader" w:hAnsi="Reader" w:cs="Arial"/>
        </w:rPr>
      </w:pPr>
      <w:r w:rsidRPr="0037397B">
        <w:rPr>
          <w:rFonts w:ascii="Reader" w:hAnsi="Reader" w:cs="Arial"/>
        </w:rPr>
        <w:t xml:space="preserve">2015 legen die Vereinten Nationen neue Ziele fest. Zum ersten Mal wurde vorgeschlagen, auch </w:t>
      </w:r>
      <w:r w:rsidRPr="00D00A30">
        <w:rPr>
          <w:rFonts w:ascii="Reader" w:hAnsi="Reader" w:cs="Arial"/>
          <w:b/>
          <w:color w:val="80BA27"/>
        </w:rPr>
        <w:t>Rechtssicherheit für die Armen</w:t>
      </w:r>
      <w:r w:rsidRPr="00D00A30">
        <w:rPr>
          <w:rFonts w:ascii="Reader" w:hAnsi="Reader" w:cs="Arial"/>
          <w:color w:val="80BA27"/>
        </w:rPr>
        <w:t xml:space="preserve"> </w:t>
      </w:r>
      <w:r w:rsidRPr="0037397B">
        <w:rPr>
          <w:rFonts w:ascii="Reader" w:hAnsi="Reader" w:cs="Arial"/>
        </w:rPr>
        <w:t xml:space="preserve">als Ziel mitaufzunehmen, um sie nachhaltig vor Gewalt zu schützen.  </w:t>
      </w:r>
    </w:p>
    <w:p w:rsidR="006662E9" w:rsidRPr="00B40CE9" w:rsidRDefault="0037397B" w:rsidP="00B40CE9">
      <w:pPr>
        <w:ind w:left="0" w:firstLine="0"/>
        <w:rPr>
          <w:rFonts w:ascii="Reader" w:hAnsi="Reader" w:cs="Arial"/>
        </w:rPr>
      </w:pPr>
      <w:r w:rsidRPr="0037397B">
        <w:rPr>
          <w:rFonts w:ascii="Reader" w:hAnsi="Reader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D59701" wp14:editId="4C0F040A">
                <wp:simplePos x="0" y="0"/>
                <wp:positionH relativeFrom="column">
                  <wp:posOffset>-4445</wp:posOffset>
                </wp:positionH>
                <wp:positionV relativeFrom="paragraph">
                  <wp:posOffset>909955</wp:posOffset>
                </wp:positionV>
                <wp:extent cx="5743575" cy="49053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905375"/>
                        </a:xfrm>
                        <a:prstGeom prst="rect">
                          <a:avLst/>
                        </a:prstGeom>
                        <a:solidFill>
                          <a:srgbClr val="80BA27">
                            <a:alpha val="5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89" w:rsidRDefault="00B35A89" w:rsidP="00B35A89">
                            <w:pPr>
                              <w:pStyle w:val="berschrift4"/>
                              <w:ind w:left="0" w:firstLine="0"/>
                            </w:pPr>
                            <w:r w:rsidRPr="00CA366B">
                              <w:t xml:space="preserve">Petition an </w:t>
                            </w:r>
                            <w:r>
                              <w:t>die Vereinten Nationen</w:t>
                            </w:r>
                            <w:r w:rsidRPr="00CA366B">
                              <w:t xml:space="preserve"> zur Entscheidung der Nachhaltigen Entwicklungsziele: Mehr Rechtssicherheit und Schutz für die Ärmsten der Welt!</w:t>
                            </w:r>
                          </w:p>
                          <w:p w:rsidR="00B35A89" w:rsidRDefault="00B35A89" w:rsidP="00B35A89">
                            <w:pPr>
                              <w:ind w:left="0" w:firstLine="0"/>
                              <w:rPr>
                                <w:rFonts w:ascii="Veneer Two" w:hAnsi="Veneer Two"/>
                              </w:rPr>
                            </w:pPr>
                          </w:p>
                          <w:p w:rsidR="00B35A89" w:rsidRPr="0037397B" w:rsidRDefault="00B35A89" w:rsidP="00B35A89">
                            <w:pPr>
                              <w:ind w:left="0" w:firstLine="0"/>
                              <w:rPr>
                                <w:rFonts w:ascii="Reader" w:hAnsi="Reader"/>
                              </w:rPr>
                            </w:pPr>
                            <w:r w:rsidRPr="0037397B">
                              <w:rPr>
                                <w:rFonts w:ascii="Reader" w:hAnsi="Reader"/>
                              </w:rPr>
                              <w:t xml:space="preserve">Sehr geehrter Generalsekretär Ban </w:t>
                            </w:r>
                            <w:proofErr w:type="spellStart"/>
                            <w:r w:rsidRPr="0037397B">
                              <w:rPr>
                                <w:rFonts w:ascii="Reader" w:hAnsi="Reader"/>
                              </w:rPr>
                              <w:t>Ki</w:t>
                            </w:r>
                            <w:proofErr w:type="spellEnd"/>
                            <w:r w:rsidRPr="0037397B">
                              <w:rPr>
                                <w:rFonts w:ascii="Reader" w:hAnsi="Reader"/>
                              </w:rPr>
                              <w:t>-Moon,</w:t>
                            </w:r>
                          </w:p>
                          <w:p w:rsidR="00B35A89" w:rsidRPr="0037397B" w:rsidRDefault="00B35A89" w:rsidP="00B35A89">
                            <w:pPr>
                              <w:ind w:left="0" w:firstLine="0"/>
                              <w:rPr>
                                <w:rFonts w:ascii="Reader" w:hAnsi="Reader" w:cs="Arial"/>
                                <w:lang w:eastAsia="de-DE"/>
                              </w:rPr>
                            </w:pPr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 xml:space="preserve">alltägliche Gewalt gegen die Ärmsten der Gesellschaft untergräbt die globalen Bemühungen zur Entwicklung von Gesundheits-, Bildungs- und Wirtschaftswesen. Rechtssysteme, die die Ärmsten, insbesondere Frauen und Kinder, zuverlässig und professionell vor Gewalt und Ausbeutung schützen, sind ein unverzichtbarer Bestandteil von nachhaltiger Entwicklung. </w:t>
                            </w:r>
                          </w:p>
                          <w:p w:rsidR="00B35A89" w:rsidRPr="0037397B" w:rsidRDefault="00B35A89" w:rsidP="00B35A89">
                            <w:pPr>
                              <w:ind w:left="0" w:firstLine="0"/>
                              <w:rPr>
                                <w:rFonts w:ascii="Reader" w:hAnsi="Reader" w:cs="Arial"/>
                                <w:lang w:eastAsia="de-DE"/>
                              </w:rPr>
                            </w:pPr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>Aus diesem Grund bitten wir Sie, für die Wahl der Nachhaltigen Entwicklungsziele der Vereinten Nationen ab 2015 folgende Ziele zu unterstützen:</w:t>
                            </w:r>
                          </w:p>
                          <w:p w:rsidR="00B35A89" w:rsidRPr="0037397B" w:rsidRDefault="00B35A89" w:rsidP="00B35A8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219"/>
                              <w:rPr>
                                <w:rFonts w:ascii="Reader" w:hAnsi="Reader" w:cs="Arial"/>
                                <w:lang w:eastAsia="de-DE"/>
                              </w:rPr>
                            </w:pPr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 xml:space="preserve">Beseitigung aller Formen von Gewalt gegen Kinder </w:t>
                            </w:r>
                          </w:p>
                          <w:p w:rsidR="00B35A89" w:rsidRPr="0037397B" w:rsidRDefault="00B35A89" w:rsidP="00B35A8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219"/>
                              <w:rPr>
                                <w:rFonts w:ascii="Reader" w:hAnsi="Reader" w:cs="Arial"/>
                                <w:lang w:eastAsia="de-DE"/>
                              </w:rPr>
                            </w:pPr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>Sicherstellung, dass Institutionen der Justiz zugänglich, unabhängig und gut ausgerüstet sind sowie das Recht auf eine angemessene schnelle Aufklärung von Fällen.</w:t>
                            </w:r>
                          </w:p>
                          <w:p w:rsidR="00B35A89" w:rsidRPr="0037397B" w:rsidRDefault="00B35A89" w:rsidP="00B35A8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219"/>
                              <w:rPr>
                                <w:rFonts w:ascii="Reader" w:hAnsi="Reader" w:cs="Arial"/>
                                <w:lang w:eastAsia="de-DE"/>
                              </w:rPr>
                            </w:pPr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 xml:space="preserve">Förderung von Kapazitäten, Professionalität und Verantwortlichkeit der Sicherheitskräfte, der Polizei und des Justizsektors </w:t>
                            </w:r>
                          </w:p>
                          <w:p w:rsidR="00B35A89" w:rsidRPr="0037397B" w:rsidRDefault="00B35A89" w:rsidP="00B35A89">
                            <w:pPr>
                              <w:ind w:left="0" w:firstLine="0"/>
                              <w:rPr>
                                <w:rFonts w:ascii="Reader" w:hAnsi="Reader" w:cs="Arial"/>
                                <w:lang w:eastAsia="de-DE"/>
                              </w:rPr>
                            </w:pPr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>Diese sowie weitere Maßnahmen sind in den Zielen 10 und 11 enthalten, die durch das internationale Beratergremium (</w:t>
                            </w:r>
                            <w:r w:rsidRPr="0037397B">
                              <w:rPr>
                                <w:rFonts w:ascii="Reader" w:hAnsi="Reader" w:cs="Arial"/>
                                <w:i/>
                                <w:lang w:eastAsia="de-DE"/>
                              </w:rPr>
                              <w:t xml:space="preserve">High-Level Panel </w:t>
                            </w:r>
                            <w:proofErr w:type="spellStart"/>
                            <w:r w:rsidRPr="0037397B">
                              <w:rPr>
                                <w:rFonts w:ascii="Reader" w:hAnsi="Reader" w:cs="Arial"/>
                                <w:i/>
                                <w:lang w:eastAsia="de-DE"/>
                              </w:rPr>
                              <w:t>of</w:t>
                            </w:r>
                            <w:proofErr w:type="spellEnd"/>
                            <w:r w:rsidRPr="0037397B">
                              <w:rPr>
                                <w:rFonts w:ascii="Reader" w:hAnsi="Reader" w:cs="Arial"/>
                                <w:i/>
                                <w:lang w:eastAsia="de-DE"/>
                              </w:rPr>
                              <w:t xml:space="preserve"> Eminent </w:t>
                            </w:r>
                            <w:proofErr w:type="spellStart"/>
                            <w:r w:rsidRPr="0037397B">
                              <w:rPr>
                                <w:rFonts w:ascii="Reader" w:hAnsi="Reader" w:cs="Arial"/>
                                <w:i/>
                                <w:lang w:eastAsia="de-DE"/>
                              </w:rPr>
                              <w:t>Persons</w:t>
                            </w:r>
                            <w:proofErr w:type="spellEnd"/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>) vorgeschlagen wurden, das im Juli 2012 von Ihnen ernannt wurde.</w:t>
                            </w:r>
                          </w:p>
                          <w:p w:rsidR="00B35A89" w:rsidRPr="0037397B" w:rsidRDefault="00B35A89" w:rsidP="00B35A89">
                            <w:pPr>
                              <w:ind w:left="0" w:firstLine="0"/>
                              <w:rPr>
                                <w:rFonts w:ascii="Reader" w:hAnsi="Reader" w:cs="Arial"/>
                                <w:lang w:eastAsia="de-DE"/>
                              </w:rPr>
                            </w:pPr>
                            <w:r w:rsidRPr="0037397B">
                              <w:rPr>
                                <w:rFonts w:ascii="Reader" w:hAnsi="Reader" w:cs="Arial"/>
                                <w:lang w:eastAsia="de-DE"/>
                              </w:rPr>
                              <w:t>Ich bitte Sie eindringlich bei der endgültigen Entscheidung über die Nachhaltigen Entwicklungsziele der Vereinten Nationen im Herbst 2014 sicherzustellen, dass die oben genannten Ziele darin enthalten sind.</w:t>
                            </w:r>
                          </w:p>
                          <w:p w:rsidR="00B35A89" w:rsidRDefault="00B35A89" w:rsidP="00B35A89">
                            <w:pPr>
                              <w:ind w:left="0" w:firstLine="0"/>
                              <w:rPr>
                                <w:rFonts w:ascii="Veneer Two" w:hAnsi="Veneer Two"/>
                              </w:rPr>
                            </w:pPr>
                          </w:p>
                          <w:p w:rsidR="00B35A89" w:rsidRDefault="00B35A89" w:rsidP="00B35A89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5970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71.65pt;width:452.25pt;height:3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" fillcolor="#80ba27" stroked="f">
                <v:fill opacity="37265f"/>
                <v:textbox>
                  <w:txbxContent>
                    <w:p w:rsidR="00B35A89" w:rsidRDefault="00B35A89" w:rsidP="00B35A89">
                      <w:pPr>
                        <w:pStyle w:val="berschrift4"/>
                        <w:ind w:left="0" w:firstLine="0"/>
                      </w:pPr>
                      <w:r w:rsidRPr="00CA366B">
                        <w:t xml:space="preserve">Petition an </w:t>
                      </w:r>
                      <w:r>
                        <w:t>die Vereinten Nationen</w:t>
                      </w:r>
                      <w:r w:rsidRPr="00CA366B">
                        <w:t xml:space="preserve"> zur Entscheidung der Nachhaltigen Entwicklungsziele: Mehr Rechtssicherheit und Schutz für die Ärmsten der Welt!</w:t>
                      </w:r>
                    </w:p>
                    <w:p w:rsidR="00B35A89" w:rsidRDefault="00B35A89" w:rsidP="00B35A89">
                      <w:pPr>
                        <w:ind w:left="0" w:firstLine="0"/>
                        <w:rPr>
                          <w:rFonts w:ascii="Veneer Two" w:hAnsi="Veneer Two"/>
                        </w:rPr>
                      </w:pPr>
                    </w:p>
                    <w:p w:rsidR="00B35A89" w:rsidRPr="0037397B" w:rsidRDefault="00B35A89" w:rsidP="00B35A89">
                      <w:pPr>
                        <w:ind w:left="0" w:firstLine="0"/>
                        <w:rPr>
                          <w:rFonts w:ascii="Reader" w:hAnsi="Reader"/>
                        </w:rPr>
                      </w:pPr>
                      <w:r w:rsidRPr="0037397B">
                        <w:rPr>
                          <w:rFonts w:ascii="Reader" w:hAnsi="Reader"/>
                        </w:rPr>
                        <w:t xml:space="preserve">Sehr geehrter Generalsekretär Ban </w:t>
                      </w:r>
                      <w:proofErr w:type="spellStart"/>
                      <w:r w:rsidRPr="0037397B">
                        <w:rPr>
                          <w:rFonts w:ascii="Reader" w:hAnsi="Reader"/>
                        </w:rPr>
                        <w:t>Ki</w:t>
                      </w:r>
                      <w:proofErr w:type="spellEnd"/>
                      <w:r w:rsidRPr="0037397B">
                        <w:rPr>
                          <w:rFonts w:ascii="Reader" w:hAnsi="Reader"/>
                        </w:rPr>
                        <w:t>-Moon,</w:t>
                      </w:r>
                    </w:p>
                    <w:p w:rsidR="00B35A89" w:rsidRPr="0037397B" w:rsidRDefault="00B35A89" w:rsidP="00B35A89">
                      <w:pPr>
                        <w:ind w:left="0" w:firstLine="0"/>
                        <w:rPr>
                          <w:rFonts w:ascii="Reader" w:hAnsi="Reader" w:cs="Arial"/>
                          <w:lang w:eastAsia="de-DE"/>
                        </w:rPr>
                      </w:pPr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 xml:space="preserve">alltägliche Gewalt gegen die Ärmsten der Gesellschaft untergräbt die globalen Bemühungen zur Entwicklung von Gesundheits-, Bildungs- und Wirtschaftswesen. Rechtssysteme, die die Ärmsten, insbesondere Frauen und Kinder, zuverlässig und professionell vor Gewalt und Ausbeutung schützen, sind ein unverzichtbarer Bestandteil von nachhaltiger Entwicklung. </w:t>
                      </w:r>
                    </w:p>
                    <w:p w:rsidR="00B35A89" w:rsidRPr="0037397B" w:rsidRDefault="00B35A89" w:rsidP="00B35A89">
                      <w:pPr>
                        <w:ind w:left="0" w:firstLine="0"/>
                        <w:rPr>
                          <w:rFonts w:ascii="Reader" w:hAnsi="Reader" w:cs="Arial"/>
                          <w:lang w:eastAsia="de-DE"/>
                        </w:rPr>
                      </w:pPr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>Aus diesem Grund bitten wir Sie, für die Wahl der Nachhaltigen Entwicklungsziele der Vereinten Nationen ab 2015 folgende Ziele zu unterstützen:</w:t>
                      </w:r>
                    </w:p>
                    <w:p w:rsidR="00B35A89" w:rsidRPr="0037397B" w:rsidRDefault="00B35A89" w:rsidP="00B35A8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426" w:hanging="219"/>
                        <w:rPr>
                          <w:rFonts w:ascii="Reader" w:hAnsi="Reader" w:cs="Arial"/>
                          <w:lang w:eastAsia="de-DE"/>
                        </w:rPr>
                      </w:pPr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 xml:space="preserve">Beseitigung aller Formen von Gewalt gegen Kinder </w:t>
                      </w:r>
                    </w:p>
                    <w:p w:rsidR="00B35A89" w:rsidRPr="0037397B" w:rsidRDefault="00B35A89" w:rsidP="00B35A8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426" w:hanging="219"/>
                        <w:rPr>
                          <w:rFonts w:ascii="Reader" w:hAnsi="Reader" w:cs="Arial"/>
                          <w:lang w:eastAsia="de-DE"/>
                        </w:rPr>
                      </w:pPr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>Sicherstellung, dass Institutionen der Justiz zugänglich, unabhängig und gut ausgerüstet sind sowie das Recht auf eine angemessene schnelle Aufklärung von Fällen.</w:t>
                      </w:r>
                    </w:p>
                    <w:p w:rsidR="00B35A89" w:rsidRPr="0037397B" w:rsidRDefault="00B35A89" w:rsidP="00B35A8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426" w:hanging="219"/>
                        <w:rPr>
                          <w:rFonts w:ascii="Reader" w:hAnsi="Reader" w:cs="Arial"/>
                          <w:lang w:eastAsia="de-DE"/>
                        </w:rPr>
                      </w:pPr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 xml:space="preserve">Förderung von Kapazitäten, Professionalität und Verantwortlichkeit der Sicherheitskräfte, der Polizei und des Justizsektors </w:t>
                      </w:r>
                    </w:p>
                    <w:p w:rsidR="00B35A89" w:rsidRPr="0037397B" w:rsidRDefault="00B35A89" w:rsidP="00B35A89">
                      <w:pPr>
                        <w:ind w:left="0" w:firstLine="0"/>
                        <w:rPr>
                          <w:rFonts w:ascii="Reader" w:hAnsi="Reader" w:cs="Arial"/>
                          <w:lang w:eastAsia="de-DE"/>
                        </w:rPr>
                      </w:pPr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>Diese sowie weitere Maßnahmen sind in den Zielen 10 und 11 enthalten, die durch das internationale Beratergremium (</w:t>
                      </w:r>
                      <w:r w:rsidRPr="0037397B">
                        <w:rPr>
                          <w:rFonts w:ascii="Reader" w:hAnsi="Reader" w:cs="Arial"/>
                          <w:i/>
                          <w:lang w:eastAsia="de-DE"/>
                        </w:rPr>
                        <w:t xml:space="preserve">High-Level Panel </w:t>
                      </w:r>
                      <w:proofErr w:type="spellStart"/>
                      <w:r w:rsidRPr="0037397B">
                        <w:rPr>
                          <w:rFonts w:ascii="Reader" w:hAnsi="Reader" w:cs="Arial"/>
                          <w:i/>
                          <w:lang w:eastAsia="de-DE"/>
                        </w:rPr>
                        <w:t>of</w:t>
                      </w:r>
                      <w:proofErr w:type="spellEnd"/>
                      <w:r w:rsidRPr="0037397B">
                        <w:rPr>
                          <w:rFonts w:ascii="Reader" w:hAnsi="Reader" w:cs="Arial"/>
                          <w:i/>
                          <w:lang w:eastAsia="de-DE"/>
                        </w:rPr>
                        <w:t xml:space="preserve"> Eminent </w:t>
                      </w:r>
                      <w:proofErr w:type="spellStart"/>
                      <w:r w:rsidRPr="0037397B">
                        <w:rPr>
                          <w:rFonts w:ascii="Reader" w:hAnsi="Reader" w:cs="Arial"/>
                          <w:i/>
                          <w:lang w:eastAsia="de-DE"/>
                        </w:rPr>
                        <w:t>Persons</w:t>
                      </w:r>
                      <w:proofErr w:type="spellEnd"/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>) vorgeschlagen wurden, das im Juli 2012 von Ihnen ernannt wurde.</w:t>
                      </w:r>
                    </w:p>
                    <w:p w:rsidR="00B35A89" w:rsidRPr="0037397B" w:rsidRDefault="00B35A89" w:rsidP="00B35A89">
                      <w:pPr>
                        <w:ind w:left="0" w:firstLine="0"/>
                        <w:rPr>
                          <w:rFonts w:ascii="Reader" w:hAnsi="Reader" w:cs="Arial"/>
                          <w:lang w:eastAsia="de-DE"/>
                        </w:rPr>
                      </w:pPr>
                      <w:r w:rsidRPr="0037397B">
                        <w:rPr>
                          <w:rFonts w:ascii="Reader" w:hAnsi="Reader" w:cs="Arial"/>
                          <w:lang w:eastAsia="de-DE"/>
                        </w:rPr>
                        <w:t>Ich bitte Sie eindringlich bei der endgültigen Entscheidung über die Nachhaltigen Entwicklungsziele der Vereinten Nationen im Herbst 2014 sicherzustellen, dass die oben genannten Ziele darin enthalten sind.</w:t>
                      </w:r>
                    </w:p>
                    <w:p w:rsidR="00B35A89" w:rsidRDefault="00B35A89" w:rsidP="00B35A89">
                      <w:pPr>
                        <w:ind w:left="0" w:firstLine="0"/>
                        <w:rPr>
                          <w:rFonts w:ascii="Veneer Two" w:hAnsi="Veneer Two"/>
                        </w:rPr>
                      </w:pPr>
                    </w:p>
                    <w:p w:rsidR="00B35A89" w:rsidRDefault="00B35A89" w:rsidP="00B35A89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62E9" w:rsidRPr="0037397B">
        <w:rPr>
          <w:rFonts w:ascii="Reader" w:hAnsi="Reader" w:cs="Arial"/>
        </w:rPr>
        <w:t xml:space="preserve">Gemeinsam mit Nicht-Regierungsorganisation in der Entwicklungszusammenarbeit und Menschenrechtsarbeit bittet IJM die Vereinten Nationen das Ziel „Zugang zu Rechtssicherheit und -schutz für Arme“ in die </w:t>
      </w:r>
      <w:r w:rsidR="006662E9" w:rsidRPr="00D00A30">
        <w:rPr>
          <w:rFonts w:ascii="Reader" w:hAnsi="Reader" w:cs="Arial"/>
          <w:b/>
          <w:color w:val="80BA27"/>
        </w:rPr>
        <w:t>Nachhaltigen Entwicklungsziele</w:t>
      </w:r>
      <w:r w:rsidR="006662E9" w:rsidRPr="00D00A30">
        <w:rPr>
          <w:rFonts w:ascii="Reader" w:hAnsi="Reader" w:cs="Arial"/>
          <w:color w:val="80BA27"/>
        </w:rPr>
        <w:t xml:space="preserve"> </w:t>
      </w:r>
      <w:r w:rsidR="006662E9" w:rsidRPr="0037397B">
        <w:rPr>
          <w:rFonts w:ascii="Reader" w:hAnsi="Reader" w:cs="Arial"/>
        </w:rPr>
        <w:t>fest aufzunehmen.</w:t>
      </w:r>
      <w:bookmarkStart w:id="0" w:name="_GoBack"/>
      <w:bookmarkEnd w:id="0"/>
    </w:p>
    <w:sectPr w:rsidR="006662E9" w:rsidRPr="00B40C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neer Two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Reade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029E5"/>
    <w:multiLevelType w:val="hybridMultilevel"/>
    <w:tmpl w:val="D3FAB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11E47"/>
    <w:multiLevelType w:val="hybridMultilevel"/>
    <w:tmpl w:val="640A48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6F"/>
    <w:rsid w:val="00024AF7"/>
    <w:rsid w:val="00052A04"/>
    <w:rsid w:val="00140023"/>
    <w:rsid w:val="002208C2"/>
    <w:rsid w:val="002F5576"/>
    <w:rsid w:val="0037397B"/>
    <w:rsid w:val="00464B85"/>
    <w:rsid w:val="006662E9"/>
    <w:rsid w:val="00B0096F"/>
    <w:rsid w:val="00B35A89"/>
    <w:rsid w:val="00B40CE9"/>
    <w:rsid w:val="00CD351B"/>
    <w:rsid w:val="00D00A30"/>
    <w:rsid w:val="00DF254F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92867-1352-479D-A288-210142E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4B85"/>
    <w:rPr>
      <w:rFonts w:ascii="Arial" w:hAnsi="Arial"/>
    </w:rPr>
  </w:style>
  <w:style w:type="paragraph" w:styleId="berschrift1">
    <w:name w:val="heading 1"/>
    <w:basedOn w:val="Standard"/>
    <w:link w:val="berschrift1Zchn"/>
    <w:uiPriority w:val="9"/>
    <w:qFormat/>
    <w:rsid w:val="00464B85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254F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71BA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08C2"/>
    <w:pPr>
      <w:keepNext/>
      <w:keepLines/>
      <w:spacing w:before="40" w:after="0"/>
      <w:ind w:left="357"/>
      <w:outlineLvl w:val="2"/>
    </w:pPr>
    <w:rPr>
      <w:rFonts w:ascii="Century Gothic" w:eastAsiaTheme="majorEastAsia" w:hAnsi="Century Gothic" w:cstheme="majorBidi"/>
      <w:color w:val="AAAAA9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2A04"/>
    <w:pPr>
      <w:keepNext/>
      <w:keepLines/>
      <w:spacing w:before="40" w:after="0"/>
      <w:ind w:left="708"/>
      <w:outlineLvl w:val="3"/>
    </w:pPr>
    <w:rPr>
      <w:rFonts w:ascii="Century Gothic" w:eastAsiaTheme="majorEastAsia" w:hAnsi="Century Gothic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B85"/>
    <w:rPr>
      <w:rFonts w:ascii="Century Gothic" w:eastAsia="Times New Roman" w:hAnsi="Century Gothic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54F"/>
    <w:rPr>
      <w:rFonts w:ascii="Century Gothic" w:eastAsiaTheme="majorEastAsia" w:hAnsi="Century Gothic" w:cstheme="majorBidi"/>
      <w:b/>
      <w:color w:val="0071BA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08C2"/>
    <w:rPr>
      <w:rFonts w:ascii="Century Gothic" w:eastAsiaTheme="majorEastAsia" w:hAnsi="Century Gothic" w:cstheme="majorBidi"/>
      <w:color w:val="AAAAA9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2A04"/>
    <w:rPr>
      <w:rFonts w:ascii="Century Gothic" w:eastAsiaTheme="majorEastAsia" w:hAnsi="Century Gothic" w:cstheme="majorBidi"/>
      <w:b/>
      <w:iCs/>
    </w:rPr>
  </w:style>
  <w:style w:type="paragraph" w:styleId="Listenabsatz">
    <w:name w:val="List Paragraph"/>
    <w:basedOn w:val="Standard"/>
    <w:uiPriority w:val="34"/>
    <w:qFormat/>
    <w:rsid w:val="006662E9"/>
    <w:pPr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Weiss</dc:creator>
  <cp:keywords/>
  <dc:description/>
  <cp:lastModifiedBy>Andreas Weiss</cp:lastModifiedBy>
  <cp:revision>2</cp:revision>
  <dcterms:created xsi:type="dcterms:W3CDTF">2014-06-12T14:50:00Z</dcterms:created>
  <dcterms:modified xsi:type="dcterms:W3CDTF">2014-06-12T14:50:00Z</dcterms:modified>
</cp:coreProperties>
</file>